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Erwerb und Stilllegung von Emissionsminderungsgutschriften nach den Regeln zu Artikel 6, Par. 4 ÜvP aus besonders qualifizierten Klimaschutzprojekten zur betrieblichen Treibhausgaskompensation der GIZ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8018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